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6336BE28" w:rsidR="00613F9B" w:rsidRPr="00821095"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CC0B18">
        <w:rPr>
          <w:b/>
          <w:noProof/>
          <w:sz w:val="24"/>
        </w:rPr>
        <w:t>7</w:t>
      </w:r>
      <w:r w:rsidR="00613F9B" w:rsidRPr="003079EF">
        <w:rPr>
          <w:b/>
          <w:i/>
          <w:noProof/>
          <w:sz w:val="28"/>
        </w:rPr>
        <w:tab/>
      </w:r>
      <w:r w:rsidR="00821095" w:rsidRPr="00821095">
        <w:rPr>
          <w:b/>
          <w:i/>
          <w:noProof/>
          <w:sz w:val="28"/>
          <w:lang w:eastAsia="ja-JP"/>
        </w:rPr>
        <w:t>R5-226376</w:t>
      </w:r>
    </w:p>
    <w:p w14:paraId="4491F182" w14:textId="1525F537" w:rsidR="00613F9B" w:rsidRPr="003079EF" w:rsidRDefault="00CC0B18" w:rsidP="00613F9B">
      <w:pPr>
        <w:pStyle w:val="CRCoverPage"/>
        <w:outlineLvl w:val="0"/>
        <w:rPr>
          <w:rFonts w:cs="Arial"/>
          <w:b/>
          <w:bCs/>
          <w:noProof/>
          <w:sz w:val="24"/>
          <w:szCs w:val="24"/>
          <w:lang w:eastAsia="ja-JP"/>
        </w:rPr>
      </w:pPr>
      <w:r>
        <w:rPr>
          <w:b/>
          <w:noProof/>
          <w:sz w:val="24"/>
          <w:lang w:eastAsia="ja-JP"/>
        </w:rPr>
        <w:t>Toulouse</w:t>
      </w:r>
      <w:r w:rsidR="00F175F6">
        <w:rPr>
          <w:b/>
          <w:noProof/>
          <w:sz w:val="24"/>
          <w:lang w:eastAsia="ja-JP"/>
        </w:rPr>
        <w:t>, France</w:t>
      </w:r>
      <w:r w:rsidR="0032519C" w:rsidRPr="003079EF">
        <w:rPr>
          <w:b/>
          <w:noProof/>
          <w:sz w:val="24"/>
          <w:lang w:eastAsia="ja-JP"/>
        </w:rPr>
        <w:t xml:space="preserve">, </w:t>
      </w:r>
      <w:r w:rsidR="00886A5B">
        <w:rPr>
          <w:b/>
          <w:noProof/>
          <w:sz w:val="24"/>
          <w:lang w:eastAsia="ja-JP"/>
        </w:rPr>
        <w:t>1</w:t>
      </w:r>
      <w:r w:rsidR="00F175F6">
        <w:rPr>
          <w:b/>
          <w:noProof/>
          <w:sz w:val="24"/>
          <w:lang w:eastAsia="ja-JP"/>
        </w:rPr>
        <w:t>4</w:t>
      </w:r>
      <w:r w:rsidR="001E5CC0">
        <w:rPr>
          <w:b/>
          <w:noProof/>
          <w:sz w:val="24"/>
          <w:vertAlign w:val="superscript"/>
          <w:lang w:eastAsia="ja-JP"/>
        </w:rPr>
        <w:t>th</w:t>
      </w:r>
      <w:r w:rsidR="00F175F6">
        <w:rPr>
          <w:b/>
          <w:noProof/>
          <w:sz w:val="24"/>
          <w:lang w:eastAsia="ja-JP"/>
        </w:rPr>
        <w:t xml:space="preserve"> </w:t>
      </w:r>
      <w:r w:rsidR="005A64EF" w:rsidRPr="0075720C">
        <w:rPr>
          <w:b/>
          <w:noProof/>
          <w:sz w:val="24"/>
          <w:lang w:eastAsia="ja-JP"/>
        </w:rPr>
        <w:t xml:space="preserve">– </w:t>
      </w:r>
      <w:r w:rsidR="00F175F6">
        <w:rPr>
          <w:b/>
          <w:noProof/>
          <w:sz w:val="24"/>
          <w:lang w:eastAsia="ja-JP"/>
        </w:rPr>
        <w:t>18</w:t>
      </w:r>
      <w:r w:rsidR="005A64EF" w:rsidRPr="0075720C">
        <w:rPr>
          <w:b/>
          <w:noProof/>
          <w:sz w:val="24"/>
          <w:vertAlign w:val="superscript"/>
          <w:lang w:eastAsia="ja-JP"/>
        </w:rPr>
        <w:t>th</w:t>
      </w:r>
      <w:r w:rsidR="005A64EF" w:rsidRPr="0075720C">
        <w:rPr>
          <w:b/>
          <w:noProof/>
          <w:sz w:val="24"/>
          <w:lang w:eastAsia="ja-JP"/>
        </w:rPr>
        <w:t xml:space="preserve"> </w:t>
      </w:r>
      <w:r w:rsidR="00F175F6">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19FA0CA0"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954BE9">
        <w:rPr>
          <w:rFonts w:eastAsia="ＭＳ 明朝"/>
          <w:b/>
        </w:rPr>
        <w:t>Introduction of AWGN and signal flatness</w:t>
      </w:r>
      <w:r w:rsidR="00037AF1">
        <w:rPr>
          <w:rFonts w:eastAsia="ＭＳ 明朝"/>
          <w:b/>
        </w:rPr>
        <w:t xml:space="preserve"> for FR2</w:t>
      </w:r>
      <w:r w:rsidR="00954BE9">
        <w:rPr>
          <w:rFonts w:eastAsia="ＭＳ 明朝"/>
          <w:b/>
        </w:rPr>
        <w:t xml:space="preserve"> to TS 38.533</w:t>
      </w:r>
    </w:p>
    <w:p w14:paraId="241B1871" w14:textId="740A8038"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618AF3F6" w14:textId="26AD9256" w:rsidR="009A46D5" w:rsidRDefault="009A46D5" w:rsidP="00C85BF1">
      <w:pPr>
        <w:spacing w:before="120" w:after="120"/>
        <w:rPr>
          <w:rFonts w:eastAsiaTheme="minorEastAsia"/>
        </w:rPr>
      </w:pPr>
      <w:r>
        <w:rPr>
          <w:rFonts w:eastAsiaTheme="minorEastAsia" w:hint="eastAsia"/>
        </w:rPr>
        <w:t>F</w:t>
      </w:r>
      <w:r>
        <w:rPr>
          <w:rFonts w:eastAsiaTheme="minorEastAsia"/>
        </w:rPr>
        <w:t>or TT analysis for FR2 RRC-based DL active BWP switch test cases [1], AWGN and signal flatness and signal-to-noise ratio uncertainty are used to calculate test system uncertainty in the test cases. However, AWGN and signal flatness is not defined</w:t>
      </w:r>
      <w:r w:rsidR="00ED49CF">
        <w:rPr>
          <w:rFonts w:eastAsiaTheme="minorEastAsia"/>
        </w:rPr>
        <w:t xml:space="preserve"> for FR2</w:t>
      </w:r>
      <w:r>
        <w:rPr>
          <w:rFonts w:eastAsiaTheme="minorEastAsia"/>
        </w:rPr>
        <w:t xml:space="preserve"> in TS 38.533 V17.4.0. This paper proposes to introduce</w:t>
      </w:r>
      <w:r w:rsidR="00037AF1">
        <w:rPr>
          <w:rFonts w:eastAsiaTheme="minorEastAsia"/>
        </w:rPr>
        <w:t xml:space="preserve"> </w:t>
      </w:r>
      <w:r>
        <w:rPr>
          <w:rFonts w:eastAsiaTheme="minorEastAsia"/>
        </w:rPr>
        <w:t xml:space="preserve">AWGN and signal flatness </w:t>
      </w:r>
      <w:r w:rsidR="00037AF1">
        <w:rPr>
          <w:rFonts w:eastAsiaTheme="minorEastAsia"/>
        </w:rPr>
        <w:t xml:space="preserve">for FR2 </w:t>
      </w:r>
      <w:r>
        <w:rPr>
          <w:rFonts w:eastAsiaTheme="minorEastAsia"/>
        </w:rPr>
        <w:t>to TS 38.533.</w:t>
      </w:r>
    </w:p>
    <w:p w14:paraId="186BE7E7" w14:textId="77777777" w:rsidR="009A46D5" w:rsidRPr="009A46D5" w:rsidRDefault="009A46D5" w:rsidP="009A46D5">
      <w:pPr>
        <w:spacing w:before="120" w:after="120"/>
        <w:rPr>
          <w:rFonts w:ascii="Arial" w:hAnsi="Arial" w:cs="Arial"/>
          <w:shd w:val="pct15" w:color="auto" w:fill="FFFFFF"/>
        </w:rPr>
      </w:pPr>
      <w:r w:rsidRPr="009A46D5">
        <w:rPr>
          <w:rFonts w:ascii="Arial" w:hAnsi="Arial" w:cs="Arial"/>
          <w:shd w:val="pct15" w:color="auto" w:fill="FFFFFF"/>
        </w:rPr>
        <w:t>For test case 5.5.6.2.1, the SS provides AWGN and one cell to the UE. Note that fading, minimum test time, and wireless cable mode are not used in this test case. The following parameters are specified in TS 38.521-4 Table F.2.1.2-1:</w:t>
      </w:r>
    </w:p>
    <w:p w14:paraId="7EAC3B91" w14:textId="77777777" w:rsidR="009A46D5" w:rsidRPr="009A46D5" w:rsidRDefault="009A46D5" w:rsidP="009A46D5">
      <w:pPr>
        <w:numPr>
          <w:ilvl w:val="0"/>
          <w:numId w:val="39"/>
        </w:numPr>
        <w:spacing w:before="120" w:after="120"/>
        <w:jc w:val="both"/>
        <w:rPr>
          <w:rFonts w:ascii="Arial" w:hAnsi="Arial"/>
          <w:shd w:val="pct15" w:color="auto" w:fill="FFFFFF"/>
        </w:rPr>
      </w:pPr>
      <w:r w:rsidRPr="009A46D5">
        <w:rPr>
          <w:rFonts w:ascii="Arial" w:hAnsi="Arial"/>
          <w:shd w:val="pct15" w:color="auto" w:fill="FFFFFF"/>
        </w:rPr>
        <w:t>AWGN flatness and signal flatness</w:t>
      </w:r>
      <w:r w:rsidRPr="009A46D5">
        <w:rPr>
          <w:rFonts w:ascii="Arial" w:hAnsi="Arial"/>
          <w:noProof/>
          <w:shd w:val="pct15" w:color="auto" w:fill="FFFFFF"/>
          <w:lang w:eastAsia="sv-SE"/>
        </w:rPr>
        <w:t xml:space="preserve"> ±</w:t>
      </w:r>
      <w:r w:rsidRPr="009A46D5">
        <w:rPr>
          <w:rFonts w:ascii="Arial" w:hAnsi="Arial"/>
          <w:noProof/>
          <w:shd w:val="pct15" w:color="auto" w:fill="FFFFFF"/>
        </w:rPr>
        <w:t>3.6 dB</w:t>
      </w:r>
      <w:r w:rsidRPr="009A46D5">
        <w:rPr>
          <w:rFonts w:ascii="Arial" w:hAnsi="Arial"/>
          <w:shd w:val="pct15" w:color="auto" w:fill="FFFFFF"/>
        </w:rPr>
        <w:t xml:space="preserve"> </w:t>
      </w:r>
    </w:p>
    <w:p w14:paraId="307621CA" w14:textId="77777777" w:rsidR="009A46D5" w:rsidRPr="009A46D5" w:rsidRDefault="009A46D5" w:rsidP="009A46D5">
      <w:pPr>
        <w:numPr>
          <w:ilvl w:val="0"/>
          <w:numId w:val="39"/>
        </w:numPr>
        <w:spacing w:before="120" w:after="120"/>
        <w:jc w:val="both"/>
        <w:rPr>
          <w:rFonts w:ascii="Arial" w:hAnsi="Arial"/>
          <w:shd w:val="pct15" w:color="auto" w:fill="FFFFFF"/>
        </w:rPr>
      </w:pPr>
      <w:r w:rsidRPr="009A46D5">
        <w:rPr>
          <w:rFonts w:ascii="Arial" w:hAnsi="Arial"/>
          <w:shd w:val="pct15" w:color="auto" w:fill="FFFFFF"/>
        </w:rPr>
        <w:t xml:space="preserve">Signal-to-noise ratio uncertainty </w:t>
      </w:r>
      <w:r w:rsidRPr="009A46D5">
        <w:rPr>
          <w:rFonts w:ascii="Arial" w:hAnsi="Arial"/>
          <w:noProof/>
          <w:shd w:val="pct15" w:color="auto" w:fill="FFFFFF"/>
          <w:lang w:eastAsia="sv-SE"/>
        </w:rPr>
        <w:t>±</w:t>
      </w:r>
      <w:r w:rsidRPr="009A46D5">
        <w:rPr>
          <w:rFonts w:ascii="Arial" w:hAnsi="Arial"/>
          <w:noProof/>
          <w:shd w:val="pct15" w:color="auto" w:fill="FFFFFF"/>
        </w:rPr>
        <w:t>0.3 dB</w:t>
      </w:r>
    </w:p>
    <w:p w14:paraId="3EFAFC74" w14:textId="77777777" w:rsidR="009A46D5" w:rsidRPr="009A46D5" w:rsidRDefault="009A46D5" w:rsidP="009A46D5">
      <w:pPr>
        <w:spacing w:before="120" w:after="120"/>
        <w:jc w:val="both"/>
        <w:rPr>
          <w:rFonts w:ascii="Arial" w:hAnsi="Arial"/>
          <w:b/>
          <w:noProof/>
          <w:shd w:val="pct15" w:color="auto" w:fill="FFFFFF"/>
        </w:rPr>
      </w:pPr>
      <w:r w:rsidRPr="009A46D5">
        <w:rPr>
          <w:rFonts w:ascii="Arial" w:hAnsi="Arial"/>
          <w:noProof/>
          <w:shd w:val="pct15" w:color="auto" w:fill="FFFFFF"/>
        </w:rPr>
        <w:t>Test System uncertainty on Cell1 = SQRT (0.3</w:t>
      </w:r>
      <w:r w:rsidRPr="009A46D5">
        <w:rPr>
          <w:rFonts w:ascii="Arial" w:hAnsi="Arial"/>
          <w:noProof/>
          <w:shd w:val="pct15" w:color="auto" w:fill="FFFFFF"/>
          <w:vertAlign w:val="superscript"/>
        </w:rPr>
        <w:t>2</w:t>
      </w:r>
      <w:r w:rsidRPr="009A46D5">
        <w:rPr>
          <w:rFonts w:ascii="Arial" w:hAnsi="Arial"/>
          <w:noProof/>
          <w:shd w:val="pct15" w:color="auto" w:fill="FFFFFF"/>
        </w:rPr>
        <w:t xml:space="preserve"> + (0.25 * 3.6)</w:t>
      </w:r>
      <w:r w:rsidRPr="009A46D5">
        <w:rPr>
          <w:rFonts w:ascii="Arial" w:hAnsi="Arial"/>
          <w:noProof/>
          <w:shd w:val="pct15" w:color="auto" w:fill="FFFFFF"/>
          <w:vertAlign w:val="superscript"/>
        </w:rPr>
        <w:t>2</w:t>
      </w:r>
      <w:r w:rsidRPr="009A46D5">
        <w:rPr>
          <w:rFonts w:ascii="Arial" w:hAnsi="Arial"/>
          <w:noProof/>
          <w:shd w:val="pct15" w:color="auto" w:fill="FFFFFF"/>
        </w:rPr>
        <w:t xml:space="preserve">) = 0.94dB, round to </w:t>
      </w:r>
      <w:r w:rsidRPr="009A46D5">
        <w:rPr>
          <w:rFonts w:ascii="Arial" w:hAnsi="Arial"/>
          <w:b/>
          <w:noProof/>
          <w:shd w:val="pct15" w:color="auto" w:fill="FFFFFF"/>
        </w:rPr>
        <w:t>1.0dB</w:t>
      </w:r>
    </w:p>
    <w:p w14:paraId="3DB3BF37" w14:textId="77777777" w:rsidR="009A46D5" w:rsidRPr="009A46D5" w:rsidRDefault="009A46D5" w:rsidP="009A46D5">
      <w:pPr>
        <w:spacing w:before="120" w:after="120"/>
        <w:jc w:val="both"/>
        <w:rPr>
          <w:rFonts w:ascii="Arial" w:hAnsi="Arial"/>
          <w:shd w:val="pct15" w:color="auto" w:fill="FFFFFF"/>
          <w:lang w:eastAsia="zh-CN"/>
        </w:rPr>
      </w:pPr>
      <w:r w:rsidRPr="009A46D5">
        <w:rPr>
          <w:rFonts w:ascii="Arial" w:hAnsi="Arial" w:hint="eastAsia"/>
          <w:shd w:val="pct15" w:color="auto" w:fill="FFFFFF"/>
          <w:lang w:eastAsia="zh-CN"/>
        </w:rPr>
        <w:t>C</w:t>
      </w:r>
      <w:r w:rsidRPr="009A46D5">
        <w:rPr>
          <w:rFonts w:ascii="Arial" w:hAnsi="Arial"/>
          <w:shd w:val="pct15" w:color="auto" w:fill="FFFFFF"/>
          <w:lang w:eastAsia="zh-CN"/>
        </w:rPr>
        <w:t xml:space="preserve">onsidering the test system </w:t>
      </w:r>
      <w:r w:rsidRPr="009A46D5">
        <w:rPr>
          <w:rFonts w:ascii="Arial" w:hAnsi="Arial"/>
          <w:noProof/>
          <w:shd w:val="pct15" w:color="auto" w:fill="FFFFFF"/>
        </w:rPr>
        <w:t>uncertainty, the minimum SNR (Es</w:t>
      </w:r>
      <w:r w:rsidRPr="009A46D5">
        <w:rPr>
          <w:rFonts w:ascii="Arial" w:hAnsi="Arial" w:hint="eastAsia"/>
          <w:noProof/>
          <w:shd w:val="pct15" w:color="auto" w:fill="FFFFFF"/>
          <w:lang w:eastAsia="zh-CN"/>
        </w:rPr>
        <w:t>/</w:t>
      </w:r>
      <w:r w:rsidRPr="009A46D5">
        <w:rPr>
          <w:rFonts w:ascii="Arial" w:hAnsi="Arial"/>
          <w:noProof/>
          <w:shd w:val="pct15" w:color="auto" w:fill="FFFFFF"/>
          <w:lang w:eastAsia="zh-CN"/>
        </w:rPr>
        <w:t>Iot</w:t>
      </w:r>
      <w:r w:rsidRPr="009A46D5">
        <w:rPr>
          <w:rFonts w:ascii="Arial" w:hAnsi="Arial"/>
          <w:noProof/>
          <w:shd w:val="pct15" w:color="auto" w:fill="FFFFFF"/>
        </w:rPr>
        <w:t>) of this test case is decreased to 18-1.0=</w:t>
      </w:r>
      <w:r w:rsidRPr="009A46D5">
        <w:rPr>
          <w:rFonts w:ascii="Arial" w:hAnsi="Arial"/>
          <w:b/>
          <w:noProof/>
          <w:shd w:val="pct15" w:color="auto" w:fill="FFFFFF"/>
        </w:rPr>
        <w:t>17.0dB</w:t>
      </w:r>
    </w:p>
    <w:p w14:paraId="1097E837" w14:textId="77777777" w:rsidR="00375485" w:rsidRPr="00CC2C3C" w:rsidRDefault="00375485"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30D7ABDD" w14:textId="4D6C1075" w:rsidR="00422661" w:rsidRDefault="00B43390" w:rsidP="00484733">
      <w:pPr>
        <w:spacing w:before="120" w:after="120"/>
        <w:rPr>
          <w:rFonts w:eastAsiaTheme="minorEastAsia"/>
        </w:rPr>
      </w:pPr>
      <w:bookmarkStart w:id="0" w:name="_Hlk60670583"/>
      <w:r>
        <w:rPr>
          <w:rFonts w:eastAsiaTheme="minorEastAsia"/>
        </w:rPr>
        <w:t xml:space="preserve">As shown below, </w:t>
      </w:r>
      <w:r w:rsidR="00422661">
        <w:rPr>
          <w:rFonts w:eastAsiaTheme="minorEastAsia"/>
        </w:rPr>
        <w:t>AWGN and signal flatness for FR</w:t>
      </w:r>
      <w:r>
        <w:rPr>
          <w:rFonts w:eastAsiaTheme="minorEastAsia"/>
        </w:rPr>
        <w:t xml:space="preserve">2 was already discussed for Demod Performance test cases in TS 38.521-4. For </w:t>
      </w:r>
      <w:r w:rsidR="00037AF1">
        <w:rPr>
          <w:rFonts w:eastAsiaTheme="minorEastAsia"/>
        </w:rPr>
        <w:t>FR2 RRM test cases, w</w:t>
      </w:r>
      <w:r>
        <w:rPr>
          <w:rFonts w:eastAsiaTheme="minorEastAsia"/>
        </w:rPr>
        <w:t xml:space="preserve">e propose to </w:t>
      </w:r>
      <w:r w:rsidR="00ED5DE6">
        <w:rPr>
          <w:rFonts w:eastAsiaTheme="minorEastAsia"/>
        </w:rPr>
        <w:t xml:space="preserve">use the same value </w:t>
      </w:r>
      <w:r w:rsidR="00037AF1">
        <w:rPr>
          <w:rFonts w:eastAsiaTheme="minorEastAsia"/>
        </w:rPr>
        <w:t>as Demod Performance test cases.</w:t>
      </w:r>
    </w:p>
    <w:p w14:paraId="6E081E5C" w14:textId="77777777" w:rsidR="00B43390" w:rsidRPr="00B43390" w:rsidRDefault="00B43390" w:rsidP="00B43390">
      <w:pPr>
        <w:overflowPunct w:val="0"/>
        <w:autoSpaceDE w:val="0"/>
        <w:autoSpaceDN w:val="0"/>
        <w:adjustRightInd w:val="0"/>
        <w:spacing w:beforeLines="0" w:before="60" w:afterLines="0" w:after="180"/>
        <w:jc w:val="center"/>
        <w:textAlignment w:val="baseline"/>
        <w:rPr>
          <w:rFonts w:ascii="Arial" w:hAnsi="Arial"/>
          <w:b/>
          <w:shd w:val="pct15" w:color="auto" w:fill="FFFFFF"/>
          <w:lang w:val="en-GB" w:eastAsia="en-GB"/>
        </w:rPr>
      </w:pPr>
      <w:r w:rsidRPr="00B43390">
        <w:rPr>
          <w:rFonts w:ascii="Arial" w:hAnsi="Arial"/>
          <w:b/>
          <w:shd w:val="pct15" w:color="auto" w:fill="FFFFFF"/>
          <w:lang w:val="en-GB" w:eastAsia="en-GB"/>
        </w:rPr>
        <w:t xml:space="preserve">Table F.2.1.2-1: Maximum measurement uncertainty values for the test system for FR2 (up to 40 GHz) and Channel BW </w:t>
      </w:r>
      <w:r w:rsidRPr="00B43390">
        <w:rPr>
          <w:rFonts w:ascii="Arial" w:hAnsi="Arial"/>
          <w:b/>
          <w:shd w:val="pct15" w:color="auto" w:fill="FFFFFF"/>
          <w:lang w:val="en-GB" w:eastAsia="sv-SE"/>
        </w:rPr>
        <w:t>≤ 4</w:t>
      </w:r>
      <w:r w:rsidRPr="00B43390">
        <w:rPr>
          <w:rFonts w:ascii="Arial" w:hAnsi="Arial"/>
          <w:b/>
          <w:shd w:val="pct15" w:color="auto" w:fill="FFFFFF"/>
          <w:lang w:val="en-GB" w:eastAsia="en-GB"/>
        </w:rPr>
        <w:t>0</w:t>
      </w:r>
      <w:r w:rsidRPr="00B43390">
        <w:rPr>
          <w:rFonts w:ascii="Arial" w:hAnsi="Arial"/>
          <w:b/>
          <w:shd w:val="pct15" w:color="auto" w:fill="FFFFFF"/>
          <w:lang w:val="en-GB" w:eastAsia="sv-SE"/>
        </w:rPr>
        <w:t>0 MHz</w:t>
      </w:r>
    </w:p>
    <w:tbl>
      <w:tblPr>
        <w:tblW w:w="8536" w:type="dxa"/>
        <w:jc w:val="center"/>
        <w:shd w:val="clear" w:color="auto" w:fill="D9D9D9" w:themeFill="background1" w:themeFillShade="D9"/>
        <w:tblLayout w:type="fixed"/>
        <w:tblCellMar>
          <w:left w:w="28" w:type="dxa"/>
          <w:right w:w="70" w:type="dxa"/>
        </w:tblCellMar>
        <w:tblLook w:val="0000" w:firstRow="0" w:lastRow="0" w:firstColumn="0" w:lastColumn="0" w:noHBand="0" w:noVBand="0"/>
      </w:tblPr>
      <w:tblGrid>
        <w:gridCol w:w="30"/>
        <w:gridCol w:w="2820"/>
        <w:gridCol w:w="15"/>
        <w:gridCol w:w="552"/>
        <w:gridCol w:w="15"/>
        <w:gridCol w:w="1827"/>
        <w:gridCol w:w="16"/>
        <w:gridCol w:w="3261"/>
      </w:tblGrid>
      <w:tr w:rsidR="00B43390" w:rsidRPr="00B43390" w14:paraId="36D321FA" w14:textId="77777777" w:rsidTr="00B43390">
        <w:trPr>
          <w:tblHeader/>
          <w:jc w:val="center"/>
        </w:trPr>
        <w:tc>
          <w:tcPr>
            <w:tcW w:w="2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1910E" w14:textId="77777777" w:rsidR="00B43390" w:rsidRPr="00B43390" w:rsidRDefault="00B43390" w:rsidP="00B43390">
            <w:pPr>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B43390">
              <w:rPr>
                <w:rFonts w:ascii="Arial" w:hAnsi="Arial"/>
                <w:b/>
                <w:sz w:val="18"/>
                <w:shd w:val="pct15" w:color="auto" w:fill="FFFFFF"/>
                <w:lang w:val="en-GB" w:eastAsia="en-GB"/>
              </w:rPr>
              <w:t>MU contributor</w:t>
            </w:r>
          </w:p>
        </w:tc>
        <w:tc>
          <w:tcPr>
            <w:tcW w:w="567"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2DA693A3" w14:textId="77777777" w:rsidR="00B43390" w:rsidRPr="00B43390" w:rsidRDefault="00B43390" w:rsidP="00B43390">
            <w:pPr>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B43390">
              <w:rPr>
                <w:rFonts w:ascii="Arial" w:hAnsi="Arial"/>
                <w:b/>
                <w:sz w:val="18"/>
                <w:shd w:val="pct15" w:color="auto" w:fill="FFFFFF"/>
                <w:lang w:val="en-GB" w:eastAsia="en-GB"/>
              </w:rPr>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6A7AADFA" w14:textId="77777777" w:rsidR="00B43390" w:rsidRPr="00B43390" w:rsidRDefault="00B43390" w:rsidP="00B43390">
            <w:pPr>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B43390">
              <w:rPr>
                <w:rFonts w:ascii="Arial" w:hAnsi="Arial"/>
                <w:b/>
                <w:sz w:val="18"/>
                <w:shd w:val="pct15" w:color="auto" w:fill="FFFFFF"/>
                <w:lang w:val="en-GB" w:eastAsia="en-GB"/>
              </w:rPr>
              <w:t>Value</w:t>
            </w:r>
          </w:p>
        </w:tc>
        <w:tc>
          <w:tcPr>
            <w:tcW w:w="3277" w:type="dxa"/>
            <w:gridSpan w:val="2"/>
            <w:tcBorders>
              <w:top w:val="single" w:sz="4" w:space="0" w:color="auto"/>
              <w:left w:val="nil"/>
              <w:bottom w:val="single" w:sz="4" w:space="0" w:color="auto"/>
              <w:right w:val="single" w:sz="4" w:space="0" w:color="auto"/>
            </w:tcBorders>
            <w:shd w:val="clear" w:color="auto" w:fill="D9D9D9" w:themeFill="background1" w:themeFillShade="D9"/>
          </w:tcPr>
          <w:p w14:paraId="7F7140E2" w14:textId="77777777" w:rsidR="00B43390" w:rsidRPr="00B43390" w:rsidRDefault="00B43390" w:rsidP="00B43390">
            <w:pPr>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B43390">
              <w:rPr>
                <w:rFonts w:ascii="Arial" w:hAnsi="Arial"/>
                <w:b/>
                <w:sz w:val="18"/>
                <w:shd w:val="pct15" w:color="auto" w:fill="FFFFFF"/>
                <w:lang w:val="en-GB" w:eastAsia="en-GB"/>
              </w:rPr>
              <w:t>Comment</w:t>
            </w:r>
          </w:p>
        </w:tc>
      </w:tr>
      <w:tr w:rsidR="00B43390" w:rsidRPr="00B43390" w14:paraId="6BA9F980" w14:textId="77777777" w:rsidTr="00B43390">
        <w:trPr>
          <w:jc w:val="center"/>
        </w:trPr>
        <w:tc>
          <w:tcPr>
            <w:tcW w:w="2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CB41AB"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AWGN flatness and signal flatness, max deviation for any Resource Block, relative to average over BW</w:t>
            </w:r>
            <w:r w:rsidRPr="00B43390">
              <w:rPr>
                <w:rFonts w:ascii="Arial" w:hAnsi="Arial"/>
                <w:sz w:val="18"/>
                <w:shd w:val="pct15" w:color="auto" w:fill="FFFFFF"/>
                <w:vertAlign w:val="subscript"/>
                <w:lang w:val="en-GB" w:eastAsia="en-GB"/>
              </w:rPr>
              <w:t>config</w:t>
            </w:r>
          </w:p>
        </w:tc>
        <w:tc>
          <w:tcPr>
            <w:tcW w:w="56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7CA332C1"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BDF1D10"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cs="Arial"/>
                <w:sz w:val="18"/>
                <w:shd w:val="pct15" w:color="auto" w:fill="FFFFFF"/>
                <w:lang w:val="en-GB" w:eastAsia="en-GB"/>
              </w:rPr>
              <w:t>±</w:t>
            </w:r>
            <w:r w:rsidRPr="00B43390">
              <w:rPr>
                <w:rFonts w:ascii="Arial" w:hAnsi="Arial"/>
                <w:sz w:val="18"/>
                <w:shd w:val="pct15" w:color="auto" w:fill="FFFFFF"/>
                <w:lang w:val="en-GB" w:eastAsia="en-GB"/>
              </w:rPr>
              <w:t>3.6</w:t>
            </w:r>
          </w:p>
        </w:tc>
        <w:tc>
          <w:tcPr>
            <w:tcW w:w="327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96AA788"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p>
        </w:tc>
      </w:tr>
      <w:tr w:rsidR="00B43390" w:rsidRPr="00B43390" w14:paraId="6CCA4660" w14:textId="77777777" w:rsidTr="00B43390">
        <w:trPr>
          <w:jc w:val="center"/>
        </w:trPr>
        <w:tc>
          <w:tcPr>
            <w:tcW w:w="2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D58F52"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gNB emulator Signal to noise ratio uncertainty</w:t>
            </w:r>
          </w:p>
        </w:tc>
        <w:tc>
          <w:tcPr>
            <w:tcW w:w="56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5E82551"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5EC56E3"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sv-SE"/>
              </w:rPr>
              <w:t>±0.3</w:t>
            </w:r>
          </w:p>
        </w:tc>
        <w:tc>
          <w:tcPr>
            <w:tcW w:w="327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46CE20B9"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p>
        </w:tc>
      </w:tr>
      <w:tr w:rsidR="00B43390" w:rsidRPr="00B43390" w14:paraId="11BE400E" w14:textId="77777777" w:rsidTr="00B43390">
        <w:tblPrEx>
          <w:tblLook w:val="04A0" w:firstRow="1" w:lastRow="0" w:firstColumn="1" w:lastColumn="0" w:noHBand="0" w:noVBand="1"/>
        </w:tblPrEx>
        <w:trPr>
          <w:gridBefore w:val="1"/>
          <w:wBefore w:w="30" w:type="dxa"/>
          <w:jc w:val="center"/>
        </w:trPr>
        <w:tc>
          <w:tcPr>
            <w:tcW w:w="28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FAC3AB"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Impact on non-ideal isolation between branches for the wireless cable mode</w:t>
            </w:r>
          </w:p>
        </w:tc>
        <w:tc>
          <w:tcPr>
            <w:tcW w:w="56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D313515"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dB</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3CE6F25" w14:textId="77777777" w:rsidR="00B43390" w:rsidRPr="00B43390" w:rsidRDefault="00B43390" w:rsidP="00B43390">
            <w:pPr>
              <w:keepNext/>
              <w:keepLines/>
              <w:overflowPunct w:val="0"/>
              <w:autoSpaceDE w:val="0"/>
              <w:autoSpaceDN w:val="0"/>
              <w:adjustRightInd w:val="0"/>
              <w:spacing w:beforeLines="0" w:before="0" w:afterLines="0" w:after="0"/>
              <w:textAlignment w:val="baseline"/>
              <w:rPr>
                <w:rFonts w:ascii="Arial" w:hAnsi="Arial"/>
                <w:sz w:val="18"/>
                <w:szCs w:val="18"/>
                <w:shd w:val="pct15" w:color="auto" w:fill="FFFFFF"/>
                <w:lang w:val="en-GB" w:eastAsia="en-GB"/>
              </w:rPr>
            </w:pPr>
            <w:r w:rsidRPr="00B43390">
              <w:rPr>
                <w:rFonts w:ascii="Arial" w:hAnsi="Arial"/>
                <w:sz w:val="18"/>
                <w:shd w:val="pct15" w:color="auto" w:fill="FFFFFF"/>
                <w:lang w:val="en-GB" w:eastAsia="en-GB"/>
              </w:rPr>
              <w:t>0.60 for Rank1</w:t>
            </w:r>
          </w:p>
          <w:p w14:paraId="018ADCD9" w14:textId="77777777" w:rsidR="00B43390" w:rsidRPr="00B43390" w:rsidRDefault="00B43390" w:rsidP="00B4339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0.45 for Rank2</w:t>
            </w:r>
          </w:p>
        </w:tc>
        <w:tc>
          <w:tcPr>
            <w:tcW w:w="326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74734B8"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Systematic uncertainty</w:t>
            </w:r>
          </w:p>
        </w:tc>
      </w:tr>
      <w:tr w:rsidR="00B43390" w:rsidRPr="00B43390" w14:paraId="710173BB" w14:textId="77777777" w:rsidTr="00B43390">
        <w:trPr>
          <w:jc w:val="center"/>
        </w:trPr>
        <w:tc>
          <w:tcPr>
            <w:tcW w:w="2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AC036C"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 xml:space="preserve">Fading profile power uncertainty </w:t>
            </w:r>
          </w:p>
        </w:tc>
        <w:tc>
          <w:tcPr>
            <w:tcW w:w="56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440C11C3"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E124347" w14:textId="77777777" w:rsidR="00B43390" w:rsidRPr="00B43390" w:rsidRDefault="00B43390" w:rsidP="00B4339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sv-SE"/>
              </w:rPr>
              <w:t>±</w:t>
            </w:r>
            <w:r w:rsidRPr="00B43390">
              <w:rPr>
                <w:rFonts w:ascii="Arial" w:hAnsi="Arial"/>
                <w:sz w:val="18"/>
                <w:shd w:val="pct15" w:color="auto" w:fill="FFFFFF"/>
                <w:lang w:val="en-GB" w:eastAsia="en-GB"/>
              </w:rPr>
              <w:t>0.5 for 1Tx</w:t>
            </w:r>
          </w:p>
          <w:p w14:paraId="3DABC1AD"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sv-SE"/>
              </w:rPr>
              <w:t>±</w:t>
            </w:r>
            <w:r w:rsidRPr="00B43390">
              <w:rPr>
                <w:rFonts w:ascii="Arial" w:hAnsi="Arial"/>
                <w:sz w:val="18"/>
                <w:shd w:val="pct15" w:color="auto" w:fill="FFFFFF"/>
                <w:lang w:val="en-GB" w:eastAsia="en-GB"/>
              </w:rPr>
              <w:t>0.7 for 2Tx</w:t>
            </w:r>
          </w:p>
        </w:tc>
        <w:tc>
          <w:tcPr>
            <w:tcW w:w="327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131DD3F"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p>
        </w:tc>
      </w:tr>
      <w:tr w:rsidR="00B43390" w:rsidRPr="00B43390" w14:paraId="657285BC" w14:textId="77777777" w:rsidTr="00B43390">
        <w:trPr>
          <w:jc w:val="center"/>
        </w:trPr>
        <w:tc>
          <w:tcPr>
            <w:tcW w:w="2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C1AF77"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SNR uncertainty due to finite test time</w:t>
            </w:r>
          </w:p>
        </w:tc>
        <w:tc>
          <w:tcPr>
            <w:tcW w:w="56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24754837"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B43390">
              <w:rPr>
                <w:rFonts w:ascii="Arial" w:hAnsi="Arial"/>
                <w:sz w:val="18"/>
                <w:shd w:val="pct15" w:color="auto" w:fill="FFFFFF"/>
                <w:lang w:val="en-GB" w:eastAsia="en-GB"/>
              </w:rPr>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260339B"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sv-SE"/>
              </w:rPr>
            </w:pPr>
            <w:r w:rsidRPr="00B43390">
              <w:rPr>
                <w:rFonts w:ascii="Arial" w:hAnsi="Arial"/>
                <w:sz w:val="18"/>
                <w:shd w:val="pct15" w:color="auto" w:fill="FFFFFF"/>
                <w:lang w:val="en-GB" w:eastAsia="sv-SE"/>
              </w:rPr>
              <w:t>±0.3 for PDSCH and doppler &lt; 100Hz</w:t>
            </w:r>
          </w:p>
          <w:p w14:paraId="7FA8A20A"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sv-SE"/>
              </w:rPr>
            </w:pPr>
            <w:r w:rsidRPr="00B43390">
              <w:rPr>
                <w:rFonts w:ascii="Arial" w:hAnsi="Arial"/>
                <w:sz w:val="18"/>
                <w:shd w:val="pct15" w:color="auto" w:fill="FFFFFF"/>
                <w:lang w:val="en-GB" w:eastAsia="sv-SE"/>
              </w:rPr>
              <w:t>0.0 for PDSCH and doppler ≥</w:t>
            </w:r>
          </w:p>
          <w:p w14:paraId="035D4695" w14:textId="77777777" w:rsidR="00B43390" w:rsidRPr="00B43390" w:rsidRDefault="00B43390" w:rsidP="00B43390">
            <w:pPr>
              <w:keepNext/>
              <w:overflowPunct w:val="0"/>
              <w:autoSpaceDE w:val="0"/>
              <w:autoSpaceDN w:val="0"/>
              <w:adjustRightInd w:val="0"/>
              <w:spacing w:beforeLines="0" w:before="0" w:afterLines="0" w:after="0"/>
              <w:textAlignment w:val="baseline"/>
              <w:rPr>
                <w:rFonts w:ascii="Arial" w:hAnsi="Arial"/>
                <w:sz w:val="18"/>
                <w:shd w:val="pct15" w:color="auto" w:fill="FFFFFF"/>
                <w:lang w:val="en-GB" w:eastAsia="sv-SE"/>
              </w:rPr>
            </w:pPr>
            <w:r w:rsidRPr="00B43390">
              <w:rPr>
                <w:rFonts w:ascii="Arial" w:hAnsi="Arial"/>
                <w:sz w:val="18"/>
                <w:shd w:val="pct15" w:color="auto" w:fill="FFFFFF"/>
                <w:lang w:val="en-GB"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2C6979CD" w14:textId="77777777" w:rsidR="00B43390" w:rsidRPr="00B43390" w:rsidRDefault="00B43390" w:rsidP="00B43390">
            <w:pPr>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p>
        </w:tc>
      </w:tr>
    </w:tbl>
    <w:p w14:paraId="346E7046" w14:textId="2CCFF3CA" w:rsidR="00394FFB" w:rsidRPr="005456B1" w:rsidRDefault="00394FFB" w:rsidP="00394FFB">
      <w:pPr>
        <w:pStyle w:val="af3"/>
      </w:pPr>
      <w:bookmarkStart w:id="1" w:name="_Ref109831911"/>
      <w:bookmarkStart w:id="2" w:name="_Ref108114432"/>
      <w:r w:rsidRPr="005456B1">
        <w:t xml:space="preserve">Observation </w:t>
      </w:r>
      <w:r w:rsidR="00877311">
        <w:fldChar w:fldCharType="begin"/>
      </w:r>
      <w:r w:rsidR="00877311">
        <w:instrText xml:space="preserve"> SEQ Observation \* ARABIC </w:instrText>
      </w:r>
      <w:r w:rsidR="00877311">
        <w:fldChar w:fldCharType="separate"/>
      </w:r>
      <w:r w:rsidRPr="005456B1">
        <w:rPr>
          <w:noProof/>
        </w:rPr>
        <w:t>1</w:t>
      </w:r>
      <w:r w:rsidR="00877311">
        <w:rPr>
          <w:noProof/>
        </w:rPr>
        <w:fldChar w:fldCharType="end"/>
      </w:r>
      <w:bookmarkEnd w:id="1"/>
      <w:r w:rsidRPr="005456B1">
        <w:t xml:space="preserve">: </w:t>
      </w:r>
      <w:r w:rsidR="00ED5DE6">
        <w:t>AWGN and signal flatness is +/- 3.6 dB in FR2 Demod Performance test cases.</w:t>
      </w:r>
      <w:bookmarkEnd w:id="2"/>
    </w:p>
    <w:p w14:paraId="4A8A1F9A" w14:textId="6B745193" w:rsidR="0094660D" w:rsidRDefault="0044067F" w:rsidP="0044067F">
      <w:pPr>
        <w:pStyle w:val="af3"/>
      </w:pPr>
      <w:bookmarkStart w:id="3" w:name="_Ref115698727"/>
      <w:bookmarkStart w:id="4" w:name="_Ref109904402"/>
      <w:r w:rsidRPr="001E6521">
        <w:t xml:space="preserve">Proposal </w:t>
      </w:r>
      <w:r w:rsidR="00877311">
        <w:fldChar w:fldCharType="begin"/>
      </w:r>
      <w:r w:rsidR="00877311">
        <w:instrText xml:space="preserve"> SEQ Proposal \* ARABIC </w:instrText>
      </w:r>
      <w:r w:rsidR="00877311">
        <w:fldChar w:fldCharType="separate"/>
      </w:r>
      <w:r w:rsidR="0094660D">
        <w:rPr>
          <w:noProof/>
        </w:rPr>
        <w:t>1</w:t>
      </w:r>
      <w:r w:rsidR="00877311">
        <w:rPr>
          <w:noProof/>
        </w:rPr>
        <w:fldChar w:fldCharType="end"/>
      </w:r>
      <w:r w:rsidRPr="001E6521">
        <w:t xml:space="preserve">: </w:t>
      </w:r>
      <w:r w:rsidR="00ED5DE6">
        <w:t>Adopt +/- 3.6 dB for AWGN and signal flatness of FR2 RRM test cases.</w:t>
      </w:r>
      <w:bookmarkEnd w:id="3"/>
    </w:p>
    <w:bookmarkEnd w:id="4"/>
    <w:p w14:paraId="5D69E2F6" w14:textId="5ABC628C" w:rsidR="00700604" w:rsidRPr="00A069D8" w:rsidRDefault="00700604" w:rsidP="00086354">
      <w:pPr>
        <w:spacing w:before="120" w:after="120"/>
        <w:rPr>
          <w:rFonts w:eastAsiaTheme="minorEastAsia"/>
        </w:rPr>
      </w:pPr>
    </w:p>
    <w:bookmarkEnd w:id="0"/>
    <w:p w14:paraId="7805E99F" w14:textId="5E261DB7" w:rsidR="001C0EF5" w:rsidRPr="005541AD" w:rsidRDefault="00877311"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lastRenderedPageBreak/>
        <w:t>RAN5 is asked to endorse following proposals.</w:t>
      </w:r>
    </w:p>
    <w:p w14:paraId="621BDD47" w14:textId="0D89FF89" w:rsidR="00907988" w:rsidRPr="00ED5DE6" w:rsidRDefault="00907988" w:rsidP="00140429">
      <w:pPr>
        <w:spacing w:before="120" w:after="120"/>
        <w:rPr>
          <w:rFonts w:eastAsiaTheme="minorEastAsia"/>
          <w:b/>
          <w:bCs/>
          <w:lang w:val="en-GB"/>
        </w:rPr>
      </w:pPr>
      <w:r w:rsidRPr="00ED5DE6">
        <w:rPr>
          <w:rFonts w:eastAsiaTheme="minorEastAsia"/>
          <w:b/>
          <w:bCs/>
          <w:lang w:val="en-GB"/>
        </w:rPr>
        <w:fldChar w:fldCharType="begin"/>
      </w:r>
      <w:r w:rsidRPr="00ED5DE6">
        <w:rPr>
          <w:rFonts w:eastAsiaTheme="minorEastAsia"/>
          <w:b/>
          <w:bCs/>
          <w:lang w:val="en-GB"/>
        </w:rPr>
        <w:instrText xml:space="preserve"> REF _Ref115698727 \h  \* MERGEFORMAT </w:instrText>
      </w:r>
      <w:r w:rsidRPr="00ED5DE6">
        <w:rPr>
          <w:rFonts w:eastAsiaTheme="minorEastAsia"/>
          <w:b/>
          <w:bCs/>
          <w:lang w:val="en-GB"/>
        </w:rPr>
      </w:r>
      <w:r w:rsidRPr="00ED5DE6">
        <w:rPr>
          <w:rFonts w:eastAsiaTheme="minorEastAsia"/>
          <w:b/>
          <w:bCs/>
          <w:lang w:val="en-GB"/>
        </w:rPr>
        <w:fldChar w:fldCharType="separate"/>
      </w:r>
      <w:r w:rsidR="00ED5DE6" w:rsidRPr="00ED5DE6">
        <w:rPr>
          <w:b/>
          <w:bCs/>
        </w:rPr>
        <w:t xml:space="preserve">Proposal </w:t>
      </w:r>
      <w:r w:rsidR="00ED5DE6" w:rsidRPr="00ED5DE6">
        <w:rPr>
          <w:b/>
          <w:bCs/>
          <w:noProof/>
        </w:rPr>
        <w:t>1</w:t>
      </w:r>
      <w:r w:rsidR="00ED5DE6" w:rsidRPr="00ED5DE6">
        <w:rPr>
          <w:b/>
          <w:bCs/>
        </w:rPr>
        <w:t>: Adopt +/- 3.6 dB for AWGN and signal flatness of FR2 RRM test cases.</w:t>
      </w:r>
      <w:r w:rsidRPr="00ED5DE6">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660A753" w14:textId="04BDAFC3" w:rsidR="00ED734D" w:rsidRDefault="004766E2" w:rsidP="001D27E4">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624DD3" w:rsidRPr="00624DD3">
        <w:rPr>
          <w:rFonts w:eastAsiaTheme="minorEastAsia"/>
        </w:rPr>
        <w:t>R5-226375</w:t>
      </w:r>
      <w:r>
        <w:rPr>
          <w:rFonts w:eastAsiaTheme="minorEastAsia"/>
        </w:rPr>
        <w:t>, “</w:t>
      </w:r>
      <w:r w:rsidR="00ED5DE6" w:rsidRPr="00ED5DE6">
        <w:rPr>
          <w:rFonts w:eastAsiaTheme="minorEastAsia"/>
        </w:rPr>
        <w:t>Test tolerance analysis for FR2 RRC-based DL active BWP switch</w:t>
      </w:r>
      <w:r>
        <w:rPr>
          <w:rFonts w:eastAsiaTheme="minorEastAsia"/>
        </w:rPr>
        <w:t xml:space="preserve">”, </w:t>
      </w:r>
      <w:r w:rsidR="00ED5DE6">
        <w:rPr>
          <w:rFonts w:eastAsiaTheme="minorEastAsia"/>
        </w:rPr>
        <w:t>Anritsu</w:t>
      </w:r>
      <w:r>
        <w:rPr>
          <w:rFonts w:eastAsiaTheme="minorEastAsia"/>
        </w:rPr>
        <w:t>, RAN5#</w:t>
      </w:r>
      <w:r w:rsidR="00ED5DE6">
        <w:rPr>
          <w:rFonts w:eastAsiaTheme="minorEastAsia"/>
        </w:rPr>
        <w:t>97</w:t>
      </w:r>
    </w:p>
    <w:p w14:paraId="6AA46517" w14:textId="77777777" w:rsidR="00880627" w:rsidRPr="008C6C0C" w:rsidRDefault="00877311"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sectPr w:rsidR="00880627" w:rsidRPr="008C6C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15F50" w14:textId="77777777" w:rsidR="00005CB9" w:rsidRDefault="00005CB9" w:rsidP="00752C85">
      <w:pPr>
        <w:spacing w:before="120" w:after="120"/>
      </w:pPr>
      <w:r>
        <w:separator/>
      </w:r>
    </w:p>
    <w:p w14:paraId="0B523F3B" w14:textId="77777777" w:rsidR="00005CB9" w:rsidRDefault="00005CB9" w:rsidP="00752C85">
      <w:pPr>
        <w:spacing w:before="120" w:after="120"/>
      </w:pPr>
    </w:p>
  </w:endnote>
  <w:endnote w:type="continuationSeparator" w:id="0">
    <w:p w14:paraId="4403A951" w14:textId="77777777" w:rsidR="00005CB9" w:rsidRDefault="00005CB9" w:rsidP="00752C85">
      <w:pPr>
        <w:spacing w:before="120" w:after="120"/>
      </w:pPr>
      <w:r>
        <w:continuationSeparator/>
      </w:r>
    </w:p>
    <w:p w14:paraId="5B836B41" w14:textId="77777777" w:rsidR="00005CB9" w:rsidRDefault="00005CB9"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983C1" w14:textId="77777777" w:rsidR="00005CB9" w:rsidRDefault="00005CB9" w:rsidP="00752C85">
      <w:pPr>
        <w:spacing w:before="120" w:after="120"/>
      </w:pPr>
      <w:r>
        <w:separator/>
      </w:r>
    </w:p>
    <w:p w14:paraId="16803252" w14:textId="77777777" w:rsidR="00005CB9" w:rsidRDefault="00005CB9" w:rsidP="00752C85">
      <w:pPr>
        <w:spacing w:before="120" w:after="120"/>
      </w:pPr>
    </w:p>
  </w:footnote>
  <w:footnote w:type="continuationSeparator" w:id="0">
    <w:p w14:paraId="48C85C2A" w14:textId="77777777" w:rsidR="00005CB9" w:rsidRDefault="00005CB9" w:rsidP="00752C85">
      <w:pPr>
        <w:spacing w:before="120" w:after="120"/>
      </w:pPr>
      <w:r>
        <w:continuationSeparator/>
      </w:r>
    </w:p>
    <w:p w14:paraId="4984A51A" w14:textId="77777777" w:rsidR="00005CB9" w:rsidRDefault="00005CB9"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630787">
    <w:abstractNumId w:val="19"/>
  </w:num>
  <w:num w:numId="2" w16cid:durableId="1713456841">
    <w:abstractNumId w:val="16"/>
  </w:num>
  <w:num w:numId="3" w16cid:durableId="183494808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57688550">
    <w:abstractNumId w:val="36"/>
  </w:num>
  <w:num w:numId="5" w16cid:durableId="1199779361">
    <w:abstractNumId w:val="9"/>
  </w:num>
  <w:num w:numId="6" w16cid:durableId="1063722326">
    <w:abstractNumId w:val="4"/>
  </w:num>
  <w:num w:numId="7" w16cid:durableId="388573054">
    <w:abstractNumId w:val="14"/>
  </w:num>
  <w:num w:numId="8" w16cid:durableId="1256522496">
    <w:abstractNumId w:val="20"/>
  </w:num>
  <w:num w:numId="9" w16cid:durableId="409081915">
    <w:abstractNumId w:val="37"/>
  </w:num>
  <w:num w:numId="10" w16cid:durableId="1776711219">
    <w:abstractNumId w:val="25"/>
  </w:num>
  <w:num w:numId="11" w16cid:durableId="1024553916">
    <w:abstractNumId w:val="3"/>
  </w:num>
  <w:num w:numId="12" w16cid:durableId="393622094">
    <w:abstractNumId w:val="34"/>
  </w:num>
  <w:num w:numId="13" w16cid:durableId="2088843052">
    <w:abstractNumId w:val="26"/>
  </w:num>
  <w:num w:numId="14" w16cid:durableId="1801607315">
    <w:abstractNumId w:val="18"/>
  </w:num>
  <w:num w:numId="15" w16cid:durableId="1566185429">
    <w:abstractNumId w:val="24"/>
  </w:num>
  <w:num w:numId="16" w16cid:durableId="1363673881">
    <w:abstractNumId w:val="29"/>
  </w:num>
  <w:num w:numId="17" w16cid:durableId="870726501">
    <w:abstractNumId w:val="7"/>
  </w:num>
  <w:num w:numId="18" w16cid:durableId="306201577">
    <w:abstractNumId w:val="23"/>
  </w:num>
  <w:num w:numId="19" w16cid:durableId="747270599">
    <w:abstractNumId w:val="21"/>
  </w:num>
  <w:num w:numId="20" w16cid:durableId="455828916">
    <w:abstractNumId w:val="0"/>
  </w:num>
  <w:num w:numId="21" w16cid:durableId="383406424">
    <w:abstractNumId w:val="28"/>
  </w:num>
  <w:num w:numId="22" w16cid:durableId="2101441607">
    <w:abstractNumId w:val="35"/>
  </w:num>
  <w:num w:numId="23" w16cid:durableId="501894781">
    <w:abstractNumId w:val="13"/>
  </w:num>
  <w:num w:numId="24" w16cid:durableId="1089547825">
    <w:abstractNumId w:val="15"/>
  </w:num>
  <w:num w:numId="25" w16cid:durableId="399790408">
    <w:abstractNumId w:val="10"/>
  </w:num>
  <w:num w:numId="26" w16cid:durableId="1809473365">
    <w:abstractNumId w:val="27"/>
  </w:num>
  <w:num w:numId="27" w16cid:durableId="1469664789">
    <w:abstractNumId w:val="8"/>
  </w:num>
  <w:num w:numId="28" w16cid:durableId="831525856">
    <w:abstractNumId w:val="30"/>
  </w:num>
  <w:num w:numId="29" w16cid:durableId="737440690">
    <w:abstractNumId w:val="38"/>
  </w:num>
  <w:num w:numId="30" w16cid:durableId="907036813">
    <w:abstractNumId w:val="31"/>
  </w:num>
  <w:num w:numId="31" w16cid:durableId="1443644223">
    <w:abstractNumId w:val="33"/>
  </w:num>
  <w:num w:numId="32" w16cid:durableId="727458119">
    <w:abstractNumId w:val="12"/>
  </w:num>
  <w:num w:numId="33" w16cid:durableId="259800680">
    <w:abstractNumId w:val="17"/>
  </w:num>
  <w:num w:numId="34" w16cid:durableId="1406680632">
    <w:abstractNumId w:val="2"/>
  </w:num>
  <w:num w:numId="35" w16cid:durableId="1696343767">
    <w:abstractNumId w:val="5"/>
  </w:num>
  <w:num w:numId="36" w16cid:durableId="1473135032">
    <w:abstractNumId w:val="11"/>
  </w:num>
  <w:num w:numId="37" w16cid:durableId="144708884">
    <w:abstractNumId w:val="32"/>
  </w:num>
  <w:num w:numId="38" w16cid:durableId="10800577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9468884">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AF1"/>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7E4"/>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6D7"/>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61"/>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DD3"/>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095"/>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1"/>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EB0"/>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4BE9"/>
    <w:rsid w:val="0095500B"/>
    <w:rsid w:val="0095526F"/>
    <w:rsid w:val="00955BFA"/>
    <w:rsid w:val="0095618B"/>
    <w:rsid w:val="00956901"/>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6D5"/>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390"/>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CED"/>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32F"/>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9CF"/>
    <w:rsid w:val="00ED4A9E"/>
    <w:rsid w:val="00ED4BD7"/>
    <w:rsid w:val="00ED4E32"/>
    <w:rsid w:val="00ED5146"/>
    <w:rsid w:val="00ED597F"/>
    <w:rsid w:val="00ED5DE6"/>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41CE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7288214">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4821152">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20874</TotalTime>
  <Pages>2</Pages>
  <Words>376</Words>
  <Characters>2146</Characters>
  <Application>Microsoft Office Word</Application>
  <DocSecurity>0</DocSecurity>
  <Lines>17</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81</cp:revision>
  <cp:lastPrinted>2007-04-23T23:59:00Z</cp:lastPrinted>
  <dcterms:created xsi:type="dcterms:W3CDTF">2021-01-20T00:58:00Z</dcterms:created>
  <dcterms:modified xsi:type="dcterms:W3CDTF">2022-11-01T07:18:00Z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